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B4" w:rsidRDefault="001D229D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80000" cy="3600000"/>
            <wp:effectExtent l="19050" t="0" r="0" b="0"/>
            <wp:docPr id="1" name="Рисунок 1" descr="C:\Users\W\Desktop\НОВЫЕ локальные акты\Локальные акты_новы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106" t="2570" r="3583" b="6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Pr="00487470" w:rsidRDefault="00564FB4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  <w:r w:rsidR="00C647FC" w:rsidRPr="00BB474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23427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б </w:t>
      </w:r>
      <w:r w:rsidR="002B246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A6689D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бщем собрании </w:t>
      </w:r>
      <w:r w:rsidR="0023427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работников </w:t>
      </w:r>
      <w:r w:rsidR="00C957EA">
        <w:rPr>
          <w:rFonts w:ascii="Times New Roman" w:hAnsi="Times New Roman"/>
          <w:b/>
          <w:sz w:val="24"/>
          <w:szCs w:val="24"/>
        </w:rPr>
        <w:t>МБОУ</w:t>
      </w:r>
      <w:r w:rsidR="00487470" w:rsidRPr="00487470"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№1 с.Октябрьское» </w:t>
      </w:r>
      <w:r w:rsidR="00F34D0E">
        <w:rPr>
          <w:rFonts w:ascii="Times New Roman" w:hAnsi="Times New Roman"/>
          <w:b/>
          <w:sz w:val="24"/>
          <w:szCs w:val="24"/>
        </w:rPr>
        <w:t>МО</w:t>
      </w:r>
      <w:r w:rsidR="00487470" w:rsidRPr="00487470">
        <w:rPr>
          <w:rFonts w:ascii="Times New Roman" w:hAnsi="Times New Roman"/>
          <w:b/>
          <w:sz w:val="24"/>
          <w:szCs w:val="24"/>
        </w:rPr>
        <w:t xml:space="preserve"> – Пригородный район </w:t>
      </w:r>
      <w:r w:rsidR="00F34D0E">
        <w:rPr>
          <w:rFonts w:ascii="Times New Roman" w:hAnsi="Times New Roman"/>
          <w:b/>
          <w:sz w:val="24"/>
          <w:szCs w:val="24"/>
        </w:rPr>
        <w:t xml:space="preserve">РСО </w:t>
      </w:r>
      <w:r w:rsidR="00487470" w:rsidRPr="00487470">
        <w:rPr>
          <w:rFonts w:ascii="Times New Roman" w:hAnsi="Times New Roman"/>
          <w:b/>
          <w:sz w:val="24"/>
          <w:szCs w:val="24"/>
        </w:rPr>
        <w:t>-Алания</w:t>
      </w: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C647FC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 xml:space="preserve">ставом </w:t>
      </w:r>
      <w:r w:rsidR="001C73B4">
        <w:rPr>
          <w:rFonts w:ascii="Times New Roman" w:hAnsi="Times New Roman"/>
          <w:sz w:val="24"/>
          <w:szCs w:val="24"/>
        </w:rPr>
        <w:t>образовательного</w:t>
      </w:r>
      <w:r w:rsidR="00B26CCB" w:rsidRPr="00BB474B">
        <w:rPr>
          <w:rFonts w:ascii="Times New Roman" w:hAnsi="Times New Roman"/>
          <w:sz w:val="24"/>
          <w:szCs w:val="24"/>
        </w:rPr>
        <w:t xml:space="preserve"> </w:t>
      </w:r>
      <w:r w:rsidR="001C73B4">
        <w:rPr>
          <w:rFonts w:ascii="Times New Roman" w:hAnsi="Times New Roman"/>
          <w:sz w:val="24"/>
          <w:szCs w:val="24"/>
        </w:rPr>
        <w:t>учреждения</w:t>
      </w:r>
      <w:r w:rsidR="00B26CCB" w:rsidRPr="00BB474B">
        <w:rPr>
          <w:rFonts w:ascii="Times New Roman" w:hAnsi="Times New Roman"/>
          <w:sz w:val="24"/>
          <w:szCs w:val="24"/>
        </w:rPr>
        <w:t xml:space="preserve"> (далее –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="00564FB4" w:rsidRPr="00BB474B">
        <w:rPr>
          <w:rFonts w:ascii="Times New Roman" w:hAnsi="Times New Roman"/>
          <w:sz w:val="24"/>
          <w:szCs w:val="24"/>
        </w:rPr>
        <w:t>)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2B1456" w:rsidRPr="00BB474B">
        <w:rPr>
          <w:rFonts w:ascii="Times New Roman" w:hAnsi="Times New Roman"/>
          <w:sz w:val="24"/>
          <w:szCs w:val="24"/>
        </w:rPr>
        <w:t xml:space="preserve"> работников О</w:t>
      </w:r>
      <w:r w:rsidR="003E08E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3D24A9" w:rsidRDefault="003D24A9" w:rsidP="003D24A9">
      <w:pPr>
        <w:pStyle w:val="a3"/>
        <w:spacing w:line="360" w:lineRule="auto"/>
        <w:jc w:val="both"/>
        <w:rPr>
          <w:color w:val="000000"/>
        </w:rPr>
      </w:pPr>
      <w:r w:rsidRPr="003D24A9">
        <w:rPr>
          <w:u w:val="single"/>
        </w:rPr>
        <w:t xml:space="preserve">Часть 4 статьи 26 </w:t>
      </w:r>
      <w:r>
        <w:rPr>
          <w:color w:val="000000"/>
        </w:rPr>
        <w:t>Федерального</w:t>
      </w:r>
      <w:r w:rsidRPr="00BB474B">
        <w:rPr>
          <w:color w:val="000000"/>
        </w:rPr>
        <w:t xml:space="preserve"> закон</w:t>
      </w:r>
      <w:r>
        <w:rPr>
          <w:color w:val="000000"/>
        </w:rPr>
        <w:t>а от 29.12.2012 № 273-ФЗ «</w:t>
      </w:r>
      <w:r w:rsidRPr="00BB474B">
        <w:rPr>
          <w:color w:val="000000"/>
        </w:rPr>
        <w:t>Об обр</w:t>
      </w:r>
      <w:r>
        <w:rPr>
          <w:color w:val="000000"/>
        </w:rPr>
        <w:t xml:space="preserve">азовании в Российской Федерации».  </w:t>
      </w:r>
    </w:p>
    <w:p w:rsidR="003D24A9" w:rsidRPr="003D24A9" w:rsidRDefault="003D24A9" w:rsidP="003D24A9">
      <w:pPr>
        <w:pStyle w:val="a3"/>
        <w:spacing w:line="360" w:lineRule="auto"/>
        <w:ind w:firstLine="284"/>
        <w:jc w:val="both"/>
        <w:rPr>
          <w:i/>
        </w:rPr>
      </w:pPr>
      <w:r w:rsidRPr="003D24A9">
        <w:rPr>
          <w:i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3D24A9" w:rsidRPr="00BB474B" w:rsidRDefault="003D24A9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lastRenderedPageBreak/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="000042C9" w:rsidRPr="00BB474B">
        <w:rPr>
          <w:rFonts w:ascii="Times New Roman" w:hAnsi="Times New Roman"/>
          <w:sz w:val="24"/>
          <w:szCs w:val="24"/>
        </w:rPr>
        <w:t xml:space="preserve">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>я и социальной защиты, У</w:t>
      </w:r>
      <w:r w:rsidR="000042C9" w:rsidRPr="00BB474B">
        <w:rPr>
          <w:rFonts w:ascii="Times New Roman" w:hAnsi="Times New Roman"/>
          <w:sz w:val="24"/>
          <w:szCs w:val="24"/>
        </w:rPr>
        <w:t xml:space="preserve">ставом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="00564FB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sz w:val="24"/>
          <w:szCs w:val="24"/>
        </w:rPr>
        <w:t>и настоящим положением.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2A2CE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="00295C1D" w:rsidRPr="00BB474B">
        <w:rPr>
          <w:rFonts w:ascii="Times New Roman" w:hAnsi="Times New Roman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иными органами самоуправления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="00295C1D" w:rsidRPr="00BB474B">
        <w:rPr>
          <w:rFonts w:ascii="Times New Roman" w:hAnsi="Times New Roman"/>
          <w:sz w:val="24"/>
          <w:szCs w:val="24"/>
        </w:rPr>
        <w:t xml:space="preserve">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нормативными актами и Уставом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 xml:space="preserve">. </w:t>
      </w:r>
    </w:p>
    <w:p w:rsidR="00C647FC" w:rsidRPr="00BB474B" w:rsidRDefault="00C04F98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 xml:space="preserve"> на высоком качественном уровне;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F43376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>я осуществления образовательного процесса, развивающей и досуговой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решение вопросов, связанных с развитием образовательной среды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решение вопросов о необходимости регламентации локальными актами отдельных аспектов деятельности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помощь администрации в разработке локальных актов </w:t>
      </w:r>
      <w:r w:rsidR="003E08EE" w:rsidRPr="00BB474B">
        <w:rPr>
          <w:rFonts w:ascii="Times New Roman" w:hAnsi="Times New Roman"/>
          <w:sz w:val="24"/>
          <w:szCs w:val="24"/>
        </w:rPr>
        <w:t>О</w:t>
      </w:r>
      <w:r w:rsidR="003E08E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 xml:space="preserve">вопросам охраны и безопасности условий образовательного процесса и трудовой деятельности, охраны жизни и здоровья обучающихся и работников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принятие мер по защите чести, достоинства и профессиональной репутации работников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о поощрении работников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локальных нормативных актов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программы развития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  <w:r w:rsidR="008A7676" w:rsidRPr="008A7676">
        <w:t xml:space="preserve"> 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 xml:space="preserve">содействие  организации  и  улучшению  условий  труда работников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 xml:space="preserve">работники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="004907A4" w:rsidRPr="00BB474B">
        <w:rPr>
          <w:rFonts w:ascii="Times New Roman" w:hAnsi="Times New Roman"/>
          <w:sz w:val="24"/>
          <w:szCs w:val="24"/>
        </w:rPr>
        <w:t>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4.3. Руководство Общим собранием осуществляет Председатель, которым по должности является руководитель </w:t>
      </w:r>
      <w:r w:rsidR="00822084">
        <w:rPr>
          <w:rFonts w:ascii="Times New Roman" w:hAnsi="Times New Roman"/>
          <w:sz w:val="24"/>
          <w:szCs w:val="24"/>
        </w:rPr>
        <w:t>образовательного</w:t>
      </w:r>
      <w:r w:rsidR="00822084" w:rsidRPr="00BB474B">
        <w:rPr>
          <w:rFonts w:ascii="Times New Roman" w:hAnsi="Times New Roman"/>
          <w:sz w:val="24"/>
          <w:szCs w:val="24"/>
        </w:rPr>
        <w:t xml:space="preserve"> </w:t>
      </w:r>
      <w:r w:rsidR="00822084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sz w:val="24"/>
          <w:szCs w:val="24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</w:t>
      </w:r>
      <w:r w:rsidR="00822084">
        <w:rPr>
          <w:rFonts w:ascii="Times New Roman" w:hAnsi="Times New Roman"/>
          <w:color w:val="000000"/>
          <w:sz w:val="24"/>
          <w:szCs w:val="24"/>
        </w:rPr>
        <w:t>2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  <w:r w:rsidR="00822084">
        <w:rPr>
          <w:rFonts w:ascii="Times New Roman" w:hAnsi="Times New Roman"/>
          <w:color w:val="000000"/>
          <w:sz w:val="24"/>
          <w:szCs w:val="24"/>
        </w:rPr>
        <w:t>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 xml:space="preserve">Общее собрание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 xml:space="preserve">Общее собрание считается правомочным, если на нем присутствует не менее 50% членов трудового коллектива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="00BA3DAC" w:rsidRPr="00BB474B">
        <w:rPr>
          <w:rFonts w:ascii="Times New Roman" w:hAnsi="Times New Roman"/>
          <w:sz w:val="24"/>
          <w:szCs w:val="24"/>
        </w:rPr>
        <w:t>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lastRenderedPageBreak/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1C73B4">
        <w:rPr>
          <w:rFonts w:ascii="Times New Roman" w:hAnsi="Times New Roman"/>
          <w:color w:val="000000"/>
          <w:sz w:val="24"/>
          <w:szCs w:val="24"/>
        </w:rPr>
        <w:t>2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F34D0E" w:rsidRDefault="00F34D0E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C5C9C" w:rsidRPr="009B16FD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 xml:space="preserve">ся подписью заведующего и печатью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lastRenderedPageBreak/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 xml:space="preserve">тся в делах </w:t>
      </w:r>
      <w:r w:rsidR="001C73B4" w:rsidRPr="00BB474B">
        <w:rPr>
          <w:rFonts w:ascii="Times New Roman" w:hAnsi="Times New Roman"/>
          <w:sz w:val="24"/>
          <w:szCs w:val="24"/>
        </w:rPr>
        <w:t>О</w:t>
      </w:r>
      <w:r w:rsidR="001C73B4">
        <w:rPr>
          <w:rFonts w:ascii="Times New Roman" w:hAnsi="Times New Roman"/>
          <w:sz w:val="24"/>
          <w:szCs w:val="24"/>
        </w:rPr>
        <w:t>У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3D24A9">
      <w:footerReference w:type="default" r:id="rId9"/>
      <w:pgSz w:w="11906" w:h="16838"/>
      <w:pgMar w:top="709" w:right="851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FE" w:rsidRDefault="00E23FFE" w:rsidP="004F0706">
      <w:pPr>
        <w:spacing w:after="0" w:line="240" w:lineRule="auto"/>
      </w:pPr>
      <w:r>
        <w:separator/>
      </w:r>
    </w:p>
  </w:endnote>
  <w:endnote w:type="continuationSeparator" w:id="1">
    <w:p w:rsidR="00E23FFE" w:rsidRDefault="00E23FFE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766"/>
      <w:docPartObj>
        <w:docPartGallery w:val="Page Numbers (Bottom of Page)"/>
        <w:docPartUnique/>
      </w:docPartObj>
    </w:sdtPr>
    <w:sdtContent>
      <w:p w:rsidR="003D24A9" w:rsidRDefault="00F7651F">
        <w:pPr>
          <w:pStyle w:val="ab"/>
          <w:jc w:val="right"/>
        </w:pPr>
        <w:fldSimple w:instr=" PAGE   \* MERGEFORMAT ">
          <w:r w:rsidR="001D229D">
            <w:rPr>
              <w:noProof/>
            </w:rPr>
            <w:t>1</w:t>
          </w:r>
        </w:fldSimple>
      </w:p>
    </w:sdtContent>
  </w:sdt>
  <w:p w:rsidR="003D24A9" w:rsidRDefault="003D24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FE" w:rsidRDefault="00E23FFE" w:rsidP="004F0706">
      <w:pPr>
        <w:spacing w:after="0" w:line="240" w:lineRule="auto"/>
      </w:pPr>
      <w:r>
        <w:separator/>
      </w:r>
    </w:p>
  </w:footnote>
  <w:footnote w:type="continuationSeparator" w:id="1">
    <w:p w:rsidR="00E23FFE" w:rsidRDefault="00E23FFE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55CF"/>
    <w:rsid w:val="00026243"/>
    <w:rsid w:val="00030CAB"/>
    <w:rsid w:val="00076618"/>
    <w:rsid w:val="000C3E12"/>
    <w:rsid w:val="000D0768"/>
    <w:rsid w:val="00106237"/>
    <w:rsid w:val="00112E22"/>
    <w:rsid w:val="001245B4"/>
    <w:rsid w:val="001754BD"/>
    <w:rsid w:val="00194A62"/>
    <w:rsid w:val="001C73B4"/>
    <w:rsid w:val="001D229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D1588"/>
    <w:rsid w:val="003D24A9"/>
    <w:rsid w:val="003E08EE"/>
    <w:rsid w:val="003F2806"/>
    <w:rsid w:val="00415751"/>
    <w:rsid w:val="00432D32"/>
    <w:rsid w:val="004331A9"/>
    <w:rsid w:val="0045179A"/>
    <w:rsid w:val="00452276"/>
    <w:rsid w:val="00487470"/>
    <w:rsid w:val="004907A4"/>
    <w:rsid w:val="004A05C1"/>
    <w:rsid w:val="004A1E89"/>
    <w:rsid w:val="004C6C6F"/>
    <w:rsid w:val="004E4D41"/>
    <w:rsid w:val="004F0706"/>
    <w:rsid w:val="00551907"/>
    <w:rsid w:val="005604FB"/>
    <w:rsid w:val="00564FB4"/>
    <w:rsid w:val="0058793B"/>
    <w:rsid w:val="005C590C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F6017"/>
    <w:rsid w:val="00814F0E"/>
    <w:rsid w:val="00822084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401B"/>
    <w:rsid w:val="009F0732"/>
    <w:rsid w:val="00A27D10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57EA"/>
    <w:rsid w:val="00C97D95"/>
    <w:rsid w:val="00CC3BB2"/>
    <w:rsid w:val="00CE0214"/>
    <w:rsid w:val="00D05C27"/>
    <w:rsid w:val="00D2140A"/>
    <w:rsid w:val="00D31DB0"/>
    <w:rsid w:val="00D4223C"/>
    <w:rsid w:val="00D57741"/>
    <w:rsid w:val="00D814CC"/>
    <w:rsid w:val="00DB0B9F"/>
    <w:rsid w:val="00DE09A7"/>
    <w:rsid w:val="00E01A8A"/>
    <w:rsid w:val="00E23FFE"/>
    <w:rsid w:val="00E604C5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7E97"/>
    <w:rsid w:val="00F34D0E"/>
    <w:rsid w:val="00F43376"/>
    <w:rsid w:val="00F47254"/>
    <w:rsid w:val="00F7651F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3D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24A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D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24A9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3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E3A96-6C94-4249-AB35-746087B4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W</cp:lastModifiedBy>
  <cp:revision>7</cp:revision>
  <cp:lastPrinted>2016-01-18T17:54:00Z</cp:lastPrinted>
  <dcterms:created xsi:type="dcterms:W3CDTF">2016-01-11T20:28:00Z</dcterms:created>
  <dcterms:modified xsi:type="dcterms:W3CDTF">2016-03-02T19:36:00Z</dcterms:modified>
</cp:coreProperties>
</file>